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76CC" w14:textId="76DB19D7" w:rsidR="000413F1" w:rsidRDefault="000413F1" w:rsidP="000413F1">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FD010E">
        <w:rPr>
          <w:b/>
          <w:i/>
          <w:noProof/>
          <w:sz w:val="28"/>
        </w:rPr>
        <w:t>4558</w:t>
      </w:r>
    </w:p>
    <w:p w14:paraId="4B7E5B2E" w14:textId="6008FA51" w:rsidR="00EE33A2" w:rsidRPr="00872560" w:rsidRDefault="000413F1" w:rsidP="000413F1">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Pr>
          <w:b/>
          <w:bCs/>
          <w:sz w:val="24"/>
        </w:rPr>
        <w:tab/>
      </w:r>
    </w:p>
    <w:p w14:paraId="497CE334" w14:textId="77777777" w:rsidR="0010401F" w:rsidRDefault="0010401F">
      <w:pPr>
        <w:keepNext/>
        <w:pBdr>
          <w:bottom w:val="single" w:sz="4" w:space="1" w:color="auto"/>
        </w:pBdr>
        <w:tabs>
          <w:tab w:val="right" w:pos="9639"/>
        </w:tabs>
        <w:outlineLvl w:val="0"/>
        <w:rPr>
          <w:rFonts w:ascii="Arial" w:hAnsi="Arial" w:cs="Arial"/>
          <w:b/>
          <w:sz w:val="24"/>
        </w:rPr>
      </w:pPr>
    </w:p>
    <w:p w14:paraId="5725268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2B1E">
        <w:rPr>
          <w:rFonts w:ascii="Arial" w:hAnsi="Arial"/>
          <w:b/>
          <w:lang w:val="en-US"/>
        </w:rPr>
        <w:t>Nokia, Nokia Shanghai Bell</w:t>
      </w:r>
    </w:p>
    <w:p w14:paraId="474393F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06764">
        <w:rPr>
          <w:rFonts w:ascii="Arial" w:hAnsi="Arial" w:cs="Arial"/>
          <w:b/>
        </w:rPr>
        <w:t>C</w:t>
      </w:r>
      <w:r w:rsidR="00506764" w:rsidRPr="00506764">
        <w:rPr>
          <w:rFonts w:ascii="Arial" w:hAnsi="Arial" w:cs="Arial"/>
          <w:b/>
        </w:rPr>
        <w:t>ertificate bound access token in SBA OAuth framework</w:t>
      </w:r>
    </w:p>
    <w:p w14:paraId="0690F1F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019EFB7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6764">
        <w:rPr>
          <w:rFonts w:ascii="Arial" w:hAnsi="Arial"/>
          <w:b/>
        </w:rPr>
        <w:t>6.2</w:t>
      </w:r>
    </w:p>
    <w:p w14:paraId="4B215480" w14:textId="77777777" w:rsidR="00C022E3" w:rsidRDefault="00C022E3">
      <w:pPr>
        <w:pStyle w:val="Heading1"/>
      </w:pPr>
      <w:r>
        <w:t>1</w:t>
      </w:r>
      <w:r>
        <w:tab/>
        <w:t xml:space="preserve">Decision/action </w:t>
      </w:r>
      <w:proofErr w:type="gramStart"/>
      <w:r>
        <w:t>requested</w:t>
      </w:r>
      <w:proofErr w:type="gramEnd"/>
    </w:p>
    <w:p w14:paraId="58B397A7"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626075">
        <w:rPr>
          <w:b/>
          <w:i/>
        </w:rPr>
        <w:t xml:space="preserve">t is </w:t>
      </w:r>
      <w:r w:rsidR="00506764">
        <w:rPr>
          <w:b/>
          <w:i/>
        </w:rPr>
        <w:t>presented for open discussion</w:t>
      </w:r>
      <w:r w:rsidR="00962561">
        <w:rPr>
          <w:b/>
          <w:i/>
        </w:rPr>
        <w:t>.</w:t>
      </w:r>
    </w:p>
    <w:p w14:paraId="7CCDCF36" w14:textId="77777777" w:rsidR="00C022E3" w:rsidRDefault="00C022E3">
      <w:pPr>
        <w:pStyle w:val="Heading1"/>
      </w:pPr>
      <w:r>
        <w:t>2</w:t>
      </w:r>
      <w:r>
        <w:tab/>
        <w:t>References</w:t>
      </w:r>
    </w:p>
    <w:p w14:paraId="7E9339E2" w14:textId="77777777" w:rsidR="00732EE4" w:rsidRDefault="00C022E3" w:rsidP="00F94B0B">
      <w:pPr>
        <w:pStyle w:val="Reference"/>
      </w:pPr>
      <w:r w:rsidRPr="006624C0">
        <w:t>[1]</w:t>
      </w:r>
      <w:r w:rsidRPr="006624C0">
        <w:tab/>
      </w:r>
      <w:r w:rsidR="00F94B0B">
        <w:t>IETF RFC 8705 “OAuth 2.0 Mutual-TLS Client Authentication and Certificate-Bound Access Tokens</w:t>
      </w:r>
    </w:p>
    <w:p w14:paraId="71208943" w14:textId="77777777" w:rsidR="00116239" w:rsidRPr="006624C0" w:rsidRDefault="00116239" w:rsidP="00116239">
      <w:pPr>
        <w:pStyle w:val="Reference"/>
      </w:pPr>
      <w:r>
        <w:t>[2]</w:t>
      </w:r>
      <w:r>
        <w:tab/>
        <w:t>3GPP TS 33.501 “Security architecture and procedures for 5G system (Release 18)”</w:t>
      </w:r>
    </w:p>
    <w:p w14:paraId="083EBA6B" w14:textId="77777777" w:rsidR="00C022E3" w:rsidRDefault="00C022E3">
      <w:pPr>
        <w:pStyle w:val="Heading1"/>
      </w:pPr>
      <w:r>
        <w:t>3</w:t>
      </w:r>
      <w:r>
        <w:tab/>
        <w:t>Rationale</w:t>
      </w:r>
    </w:p>
    <w:p w14:paraId="69823DB6" w14:textId="77777777" w:rsidR="00516629" w:rsidRDefault="00364E28" w:rsidP="00516629">
      <w:pPr>
        <w:rPr>
          <w:iCs/>
        </w:rPr>
      </w:pPr>
      <w:r w:rsidRPr="00364E28">
        <w:rPr>
          <w:iCs/>
        </w:rPr>
        <w:t xml:space="preserve">IETF RFC 8705 </w:t>
      </w:r>
      <w:r w:rsidR="00F94B0B">
        <w:rPr>
          <w:iCs/>
        </w:rPr>
        <w:t xml:space="preserve">[1] </w:t>
      </w:r>
      <w:r w:rsidRPr="00364E28">
        <w:rPr>
          <w:iCs/>
        </w:rPr>
        <w:t>addresses the binding of the OAuth 2.0 access token with the TLS certificate issue</w:t>
      </w:r>
      <w:r w:rsidR="00305D10">
        <w:rPr>
          <w:iCs/>
        </w:rPr>
        <w:t>, basically to mitigate the misuse of tokens</w:t>
      </w:r>
      <w:r w:rsidR="00E26AD0">
        <w:rPr>
          <w:iCs/>
        </w:rPr>
        <w:t>, use of stolen tokens, or replay of access tokens</w:t>
      </w:r>
      <w:r w:rsidR="00305D10">
        <w:rPr>
          <w:iCs/>
        </w:rPr>
        <w:t xml:space="preserve"> by unauthorized parties.</w:t>
      </w:r>
      <w:r w:rsidRPr="00364E28">
        <w:rPr>
          <w:iCs/>
        </w:rPr>
        <w:t xml:space="preserve"> </w:t>
      </w:r>
      <w:r w:rsidR="00C40679" w:rsidRPr="00C40679">
        <w:rPr>
          <w:iCs/>
        </w:rPr>
        <w:t xml:space="preserve">By binding access tokens to a specific client’s certificate, the risk of token theft and abuse is significantly reduced, as an attacker would need to compromise both the client’s private key and the token itself. It will also mitigate the token replay type of attacks. </w:t>
      </w:r>
      <w:proofErr w:type="gramStart"/>
      <w:r w:rsidRPr="00364E28">
        <w:rPr>
          <w:iCs/>
        </w:rPr>
        <w:t>For the purpose of</w:t>
      </w:r>
      <w:proofErr w:type="gramEnd"/>
      <w:r w:rsidRPr="00364E28">
        <w:rPr>
          <w:iCs/>
        </w:rPr>
        <w:t xml:space="preserve"> sender-constrained access tokens, the client is identified towards the resource server by the fingerprint of its public key. During processing of an access token request, the authorization server obtains the client's public key from the TLS stack and associates its fingerprint with the respective access tokens. The resource server in the same way obtains the public key from the TLS stack and compares its fingerprint with the fingerprint associated with the access token.</w:t>
      </w:r>
      <w:r w:rsidR="00C40679">
        <w:rPr>
          <w:iCs/>
        </w:rPr>
        <w:t xml:space="preserve"> The only constraint is the use of the same certificate for the client’s authentication with the authorization server and for the client’s authentication with the protected server. </w:t>
      </w:r>
    </w:p>
    <w:p w14:paraId="44865AB7" w14:textId="6C648A35" w:rsidR="00D6536A" w:rsidRDefault="00364E28" w:rsidP="00D6536A">
      <w:r>
        <w:t xml:space="preserve">However, </w:t>
      </w:r>
      <w:r w:rsidR="006C774D">
        <w:t>[1]</w:t>
      </w:r>
      <w:r w:rsidRPr="00364E28">
        <w:t xml:space="preserve"> only addresses direct communication since it is relying on </w:t>
      </w:r>
      <w:r w:rsidR="00025ADF">
        <w:t xml:space="preserve">mutual </w:t>
      </w:r>
      <w:r w:rsidRPr="00364E28">
        <w:t>TLS</w:t>
      </w:r>
      <w:r w:rsidR="00025ADF">
        <w:t xml:space="preserve"> (</w:t>
      </w:r>
      <w:proofErr w:type="spellStart"/>
      <w:r w:rsidR="00025ADF">
        <w:t>mTLS</w:t>
      </w:r>
      <w:proofErr w:type="spellEnd"/>
      <w:r w:rsidR="00025ADF">
        <w:t>)</w:t>
      </w:r>
      <w:r w:rsidR="006C774D">
        <w:t xml:space="preserve">, and it does </w:t>
      </w:r>
      <w:r w:rsidRPr="00364E28">
        <w:t>not address the indirect communication cases (i.e., Model C and D) in 3GPP.</w:t>
      </w:r>
      <w:r w:rsidR="00247762">
        <w:t xml:space="preserve"> </w:t>
      </w:r>
      <w:r w:rsidR="00247762" w:rsidRPr="00247762">
        <w:t xml:space="preserve">SBA is using </w:t>
      </w:r>
      <w:proofErr w:type="spellStart"/>
      <w:r w:rsidR="00025ADF">
        <w:t>m</w:t>
      </w:r>
      <w:r w:rsidR="00247762">
        <w:t>TLS</w:t>
      </w:r>
      <w:proofErr w:type="spellEnd"/>
      <w:r w:rsidR="00247762" w:rsidRPr="00247762">
        <w:t xml:space="preserve"> Client Authentication (as described in</w:t>
      </w:r>
      <w:r w:rsidR="006C774D">
        <w:t xml:space="preserve"> [1]</w:t>
      </w:r>
      <w:r w:rsidR="00247762" w:rsidRPr="00247762">
        <w:t>)</w:t>
      </w:r>
      <w:r w:rsidR="008A17B1">
        <w:t xml:space="preserve"> between </w:t>
      </w:r>
      <w:proofErr w:type="spellStart"/>
      <w:r w:rsidR="008A17B1">
        <w:t>NFc</w:t>
      </w:r>
      <w:proofErr w:type="spellEnd"/>
      <w:r w:rsidR="008A17B1">
        <w:t xml:space="preserve"> and SCP (model C/D), between SCP and NRF (model D)</w:t>
      </w:r>
      <w:r w:rsidR="00247762" w:rsidRPr="00247762">
        <w:t>,</w:t>
      </w:r>
      <w:r w:rsidR="00216B22">
        <w:t xml:space="preserve"> and between </w:t>
      </w:r>
      <w:proofErr w:type="spellStart"/>
      <w:r w:rsidR="00216B22">
        <w:t>NFc</w:t>
      </w:r>
      <w:proofErr w:type="spellEnd"/>
      <w:r w:rsidR="00216B22">
        <w:t xml:space="preserve"> and NRF (model C), but this does not hold when intermediate NRFs are used with hierarchical NRF</w:t>
      </w:r>
      <w:r w:rsidR="00025ADF">
        <w:t xml:space="preserve"> (i</w:t>
      </w:r>
      <w:r w:rsidR="00216B22">
        <w:t>.e.,</w:t>
      </w:r>
      <w:r w:rsidR="00025ADF">
        <w:t xml:space="preserve"> the final NRF does not have direct </w:t>
      </w:r>
      <w:proofErr w:type="spellStart"/>
      <w:r w:rsidR="00025ADF">
        <w:t>mTLS</w:t>
      </w:r>
      <w:proofErr w:type="spellEnd"/>
      <w:r w:rsidR="00216B22">
        <w:t xml:space="preserve"> </w:t>
      </w:r>
      <w:r w:rsidR="00025ADF">
        <w:t xml:space="preserve">to the </w:t>
      </w:r>
      <w:proofErr w:type="spellStart"/>
      <w:r w:rsidR="00025ADF">
        <w:t>NFc</w:t>
      </w:r>
      <w:proofErr w:type="spellEnd"/>
      <w:r w:rsidR="00025ADF">
        <w:t>).</w:t>
      </w:r>
      <w:r w:rsidR="00247762" w:rsidRPr="00247762">
        <w:t xml:space="preserve"> </w:t>
      </w:r>
      <w:r w:rsidR="00025ADF">
        <w:t>SBA does not use</w:t>
      </w:r>
      <w:r w:rsidR="00247762" w:rsidRPr="00247762">
        <w:t xml:space="preserve"> </w:t>
      </w:r>
      <w:r w:rsidR="006C774D">
        <w:t xml:space="preserve">either </w:t>
      </w:r>
      <w:r w:rsidR="00A246A2">
        <w:t>c</w:t>
      </w:r>
      <w:r w:rsidR="00247762" w:rsidRPr="00247762">
        <w:t>ertificate-</w:t>
      </w:r>
      <w:r w:rsidR="00A246A2">
        <w:t>b</w:t>
      </w:r>
      <w:r w:rsidR="00247762" w:rsidRPr="00247762">
        <w:t xml:space="preserve">ound </w:t>
      </w:r>
      <w:r w:rsidR="008A17B1">
        <w:t>a</w:t>
      </w:r>
      <w:r w:rsidR="00247762" w:rsidRPr="00247762">
        <w:t>ccess token</w:t>
      </w:r>
      <w:r w:rsidR="008A17B1">
        <w:t>s</w:t>
      </w:r>
      <w:r w:rsidR="006C774D">
        <w:t xml:space="preserve"> as described in [1].</w:t>
      </w:r>
      <w:r w:rsidR="00247762">
        <w:t xml:space="preserve"> </w:t>
      </w:r>
    </w:p>
    <w:p w14:paraId="7152F206" w14:textId="56A68956" w:rsidR="00247762" w:rsidRDefault="00E674D0" w:rsidP="00D6536A">
      <w:r>
        <w:t>TS 33.501</w:t>
      </w:r>
      <w:r w:rsidR="006C774D">
        <w:t xml:space="preserve"> [2]</w:t>
      </w:r>
      <w:r>
        <w:t xml:space="preserve"> clause 13.4.1.1.2 says that: </w:t>
      </w:r>
      <w:r w:rsidR="00D942B6">
        <w:rPr>
          <w:i/>
          <w:iCs/>
          <w:lang w:val="en-US"/>
        </w:rPr>
        <w:t>“</w:t>
      </w:r>
      <w:r w:rsidRPr="00E674D0">
        <w:rPr>
          <w:i/>
          <w:iCs/>
        </w:rPr>
        <w:t xml:space="preserve">… The NRF shall verify that the input parameters NF Instance ID and NF type as well as PLMN ID(s), </w:t>
      </w:r>
      <w:r w:rsidRPr="00D0670B">
        <w:rPr>
          <w:i/>
          <w:iCs/>
          <w:highlight w:val="yellow"/>
        </w:rPr>
        <w:t>if available</w:t>
      </w:r>
      <w:r w:rsidRPr="00E674D0">
        <w:rPr>
          <w:i/>
          <w:iCs/>
        </w:rPr>
        <w:t>,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w:t>
      </w:r>
      <w:r w:rsidR="00D942B6">
        <w:t>”</w:t>
      </w:r>
    </w:p>
    <w:p w14:paraId="161BBE54" w14:textId="56DED026" w:rsidR="00364E28" w:rsidRDefault="00D0670B" w:rsidP="00D6536A">
      <w:pPr>
        <w:rPr>
          <w:i/>
          <w:iCs/>
        </w:rPr>
      </w:pPr>
      <w:r>
        <w:t>TS 33.310</w:t>
      </w:r>
      <w:r w:rsidR="006C774D">
        <w:t xml:space="preserve"> [3]</w:t>
      </w:r>
      <w:r>
        <w:t xml:space="preserve"> clause </w:t>
      </w:r>
      <w:r w:rsidR="00F26820">
        <w:t xml:space="preserve">6.1.3c.2 says that: </w:t>
      </w:r>
      <w:r w:rsidR="00F26820" w:rsidRPr="00F26820">
        <w:rPr>
          <w:i/>
          <w:iCs/>
        </w:rPr>
        <w:t xml:space="preserve">“… subjectAltName shall (in TLS client and server certificates) contain a URI-ID with the URI for the NF Instance ID as an URN; this URI-ID </w:t>
      </w:r>
      <w:r w:rsidR="00F26820" w:rsidRPr="00F26820">
        <w:rPr>
          <w:i/>
          <w:iCs/>
          <w:highlight w:val="yellow"/>
        </w:rPr>
        <w:t xml:space="preserve">shall contain the </w:t>
      </w:r>
      <w:proofErr w:type="spellStart"/>
      <w:r w:rsidR="00F26820" w:rsidRPr="00F26820">
        <w:rPr>
          <w:i/>
          <w:iCs/>
          <w:highlight w:val="yellow"/>
        </w:rPr>
        <w:t>nfInstanceID</w:t>
      </w:r>
      <w:proofErr w:type="spellEnd"/>
      <w:r w:rsidR="00F26820" w:rsidRPr="00F26820">
        <w:rPr>
          <w:i/>
          <w:iCs/>
        </w:rPr>
        <w:t xml:space="preserve"> of the Network Function instance using the format of the </w:t>
      </w:r>
      <w:proofErr w:type="spellStart"/>
      <w:r w:rsidR="00F26820" w:rsidRPr="00F26820">
        <w:rPr>
          <w:i/>
          <w:iCs/>
        </w:rPr>
        <w:t>NFInstanceId</w:t>
      </w:r>
      <w:proofErr w:type="spellEnd"/>
      <w:r w:rsidR="00F26820" w:rsidRPr="00F26820">
        <w:rPr>
          <w:i/>
          <w:iCs/>
        </w:rPr>
        <w:t xml:space="preserve"> as described in clause 5.3.2 of TS 29.571 [</w:t>
      </w:r>
      <w:proofErr w:type="gramStart"/>
      <w:r w:rsidR="00F26820" w:rsidRPr="00F26820">
        <w:rPr>
          <w:i/>
          <w:iCs/>
        </w:rPr>
        <w:t>57]...</w:t>
      </w:r>
      <w:proofErr w:type="gramEnd"/>
      <w:r w:rsidR="00F26820" w:rsidRPr="00F26820">
        <w:rPr>
          <w:i/>
          <w:iCs/>
        </w:rPr>
        <w:t>”</w:t>
      </w:r>
    </w:p>
    <w:p w14:paraId="41615097" w14:textId="57DD5172" w:rsidR="00B22DAE" w:rsidRDefault="00305D10" w:rsidP="00D6536A">
      <w:pPr>
        <w:rPr>
          <w:lang w:val="en-US"/>
        </w:rPr>
      </w:pPr>
      <w:r w:rsidRPr="00305D10">
        <w:rPr>
          <w:b/>
          <w:bCs/>
          <w:lang w:val="en-US"/>
        </w:rPr>
        <w:t>Observation 1</w:t>
      </w:r>
      <w:r w:rsidR="005135E4">
        <w:rPr>
          <w:b/>
          <w:bCs/>
          <w:lang w:val="en-US"/>
        </w:rPr>
        <w:t xml:space="preserve"> (Direct Communication)</w:t>
      </w:r>
      <w:r w:rsidRPr="00305D10">
        <w:rPr>
          <w:b/>
          <w:bCs/>
          <w:lang w:val="en-US"/>
        </w:rPr>
        <w:t>:</w:t>
      </w:r>
      <w:r>
        <w:rPr>
          <w:lang w:val="en-US"/>
        </w:rPr>
        <w:t xml:space="preserve"> I</w:t>
      </w:r>
      <w:r w:rsidR="00F26820">
        <w:rPr>
          <w:lang w:val="en-US"/>
        </w:rPr>
        <w:t xml:space="preserve">n case of </w:t>
      </w:r>
      <w:r w:rsidR="00C40679">
        <w:rPr>
          <w:lang w:val="en-US"/>
        </w:rPr>
        <w:t xml:space="preserve">3GPP 5G Core (5GC) </w:t>
      </w:r>
      <w:r w:rsidR="00F26820">
        <w:rPr>
          <w:lang w:val="en-US"/>
        </w:rPr>
        <w:t xml:space="preserve">direct communication scenario one can assume that </w:t>
      </w:r>
      <w:r w:rsidR="00545BA9">
        <w:rPr>
          <w:lang w:val="en-US"/>
        </w:rPr>
        <w:t xml:space="preserve">to certain extent the NRF may contribute to bind the certificate to the delivered access token </w:t>
      </w:r>
      <w:r w:rsidR="003330E8">
        <w:rPr>
          <w:lang w:val="en-US"/>
        </w:rPr>
        <w:t>after</w:t>
      </w:r>
      <w:r w:rsidR="00545BA9">
        <w:rPr>
          <w:lang w:val="en-US"/>
        </w:rPr>
        <w:t xml:space="preserve"> the verification of</w:t>
      </w:r>
      <w:r w:rsidR="003330E8">
        <w:rPr>
          <w:lang w:val="en-US"/>
        </w:rPr>
        <w:t xml:space="preserve"> consumer’s</w:t>
      </w:r>
      <w:r w:rsidR="00545BA9">
        <w:rPr>
          <w:lang w:val="en-US"/>
        </w:rPr>
        <w:t xml:space="preserve"> parameters (if available) as indicated in TS 33.501</w:t>
      </w:r>
      <w:r>
        <w:rPr>
          <w:lang w:val="en-US"/>
        </w:rPr>
        <w:t xml:space="preserve"> clause 13.4.1.1.2</w:t>
      </w:r>
      <w:r w:rsidR="00C40679">
        <w:rPr>
          <w:lang w:val="en-US"/>
        </w:rPr>
        <w:t xml:space="preserve">. </w:t>
      </w:r>
      <w:r w:rsidR="002C49E0">
        <w:rPr>
          <w:lang w:val="en-US"/>
        </w:rPr>
        <w:t>I.e.</w:t>
      </w:r>
      <w:r w:rsidR="00B22DAE">
        <w:rPr>
          <w:lang w:val="en-US"/>
        </w:rPr>
        <w:t xml:space="preserve">, the authentication of the NF consumer towards the NF producer to allow the latter to verify that the originator of the service request is the legitimate owner of the token, is implicit by the authorization made by the NRF when issuing the access token. </w:t>
      </w:r>
    </w:p>
    <w:p w14:paraId="4D5D93E9" w14:textId="43C45E14" w:rsidR="00F26820" w:rsidRDefault="00C40679" w:rsidP="00D6536A">
      <w:pPr>
        <w:rPr>
          <w:lang w:val="en-US"/>
        </w:rPr>
      </w:pPr>
      <w:r>
        <w:rPr>
          <w:lang w:val="en-US"/>
        </w:rPr>
        <w:t>H</w:t>
      </w:r>
      <w:r w:rsidR="00305D10">
        <w:rPr>
          <w:lang w:val="en-US"/>
        </w:rPr>
        <w:t>owever</w:t>
      </w:r>
      <w:r>
        <w:rPr>
          <w:lang w:val="en-US"/>
        </w:rPr>
        <w:t>,</w:t>
      </w:r>
      <w:r w:rsidR="00305D10">
        <w:rPr>
          <w:lang w:val="en-US"/>
        </w:rPr>
        <w:t xml:space="preserve"> the access token itself does not have any </w:t>
      </w:r>
      <w:r w:rsidR="002C49E0">
        <w:rPr>
          <w:lang w:val="en-US"/>
        </w:rPr>
        <w:t xml:space="preserve">explicit </w:t>
      </w:r>
      <w:r w:rsidR="00305D10">
        <w:rPr>
          <w:lang w:val="en-US"/>
        </w:rPr>
        <w:t>binding with the certificate</w:t>
      </w:r>
      <w:r w:rsidR="00B64420">
        <w:rPr>
          <w:lang w:val="en-US"/>
        </w:rPr>
        <w:t xml:space="preserve"> used for mutual TLS authentication</w:t>
      </w:r>
      <w:r w:rsidR="006C774D">
        <w:rPr>
          <w:lang w:val="en-US"/>
        </w:rPr>
        <w:t xml:space="preserve">, nor indication </w:t>
      </w:r>
      <w:r w:rsidR="003D4545">
        <w:rPr>
          <w:lang w:val="en-US"/>
        </w:rPr>
        <w:t>on how, or if, the NRF completed the mutual authentication (or proof of possession binding) of the service client/</w:t>
      </w:r>
      <w:proofErr w:type="spellStart"/>
      <w:r w:rsidR="003D4545">
        <w:rPr>
          <w:lang w:val="en-US"/>
        </w:rPr>
        <w:t>NFc</w:t>
      </w:r>
      <w:proofErr w:type="spellEnd"/>
      <w:r w:rsidR="00305D10">
        <w:rPr>
          <w:lang w:val="en-US"/>
        </w:rPr>
        <w:t xml:space="preserve">. </w:t>
      </w:r>
      <w:r w:rsidR="00E26AD0">
        <w:rPr>
          <w:lang w:val="en-US"/>
        </w:rPr>
        <w:t>Note that c</w:t>
      </w:r>
      <w:r w:rsidR="00305D10">
        <w:rPr>
          <w:lang w:val="en-US"/>
        </w:rPr>
        <w:t xml:space="preserve">ertificate-bound access tokens as specified in </w:t>
      </w:r>
      <w:r>
        <w:rPr>
          <w:lang w:val="en-US"/>
        </w:rPr>
        <w:t>[1]</w:t>
      </w:r>
      <w:r w:rsidR="00305D10">
        <w:rPr>
          <w:lang w:val="en-US"/>
        </w:rPr>
        <w:t xml:space="preserve"> require proof of possession through the use of the </w:t>
      </w:r>
      <w:proofErr w:type="gramStart"/>
      <w:r w:rsidR="00305D10">
        <w:rPr>
          <w:lang w:val="en-US"/>
        </w:rPr>
        <w:t xml:space="preserve">certificate </w:t>
      </w:r>
      <w:r w:rsidR="00EC4EEC">
        <w:rPr>
          <w:lang w:val="en-US"/>
        </w:rPr>
        <w:t>.</w:t>
      </w:r>
      <w:r w:rsidR="00305D10">
        <w:rPr>
          <w:lang w:val="en-US"/>
        </w:rPr>
        <w:t>used</w:t>
      </w:r>
      <w:proofErr w:type="gramEnd"/>
      <w:r w:rsidR="00305D10">
        <w:rPr>
          <w:lang w:val="en-US"/>
        </w:rPr>
        <w:t xml:space="preserve"> to establish mutual TLS authentication. </w:t>
      </w:r>
    </w:p>
    <w:p w14:paraId="1A00306E" w14:textId="4EB68049" w:rsidR="002C49E0" w:rsidRDefault="00E26AD0" w:rsidP="00D6536A">
      <w:pPr>
        <w:rPr>
          <w:lang w:val="en-US"/>
        </w:rPr>
      </w:pPr>
      <w:r>
        <w:rPr>
          <w:b/>
          <w:bCs/>
          <w:lang w:val="en-US"/>
        </w:rPr>
        <w:t xml:space="preserve">Observation </w:t>
      </w:r>
      <w:r w:rsidR="00C40679">
        <w:rPr>
          <w:b/>
          <w:bCs/>
          <w:lang w:val="en-US"/>
        </w:rPr>
        <w:t>2</w:t>
      </w:r>
      <w:r w:rsidR="005135E4">
        <w:rPr>
          <w:b/>
          <w:bCs/>
          <w:lang w:val="en-US"/>
        </w:rPr>
        <w:t xml:space="preserve"> (Indirect Communication)</w:t>
      </w:r>
      <w:r>
        <w:rPr>
          <w:b/>
          <w:bCs/>
          <w:lang w:val="en-US"/>
        </w:rPr>
        <w:t xml:space="preserve">: </w:t>
      </w:r>
      <w:r>
        <w:rPr>
          <w:lang w:val="en-US"/>
        </w:rPr>
        <w:t>IETF RFC 8705</w:t>
      </w:r>
      <w:r w:rsidR="002C49E0">
        <w:rPr>
          <w:lang w:val="en-US"/>
        </w:rPr>
        <w:t xml:space="preserve">, </w:t>
      </w:r>
      <w:r w:rsidR="002C49E0" w:rsidRPr="003D4545">
        <w:rPr>
          <w:lang w:val="en-US"/>
        </w:rPr>
        <w:t>either</w:t>
      </w:r>
      <w:r w:rsidR="002C49E0">
        <w:rPr>
          <w:lang w:val="en-US"/>
        </w:rPr>
        <w:t xml:space="preserve"> the implicit authentication of the NF consumer specified in [2],</w:t>
      </w:r>
      <w:r>
        <w:rPr>
          <w:lang w:val="en-US"/>
        </w:rPr>
        <w:t xml:space="preserve"> </w:t>
      </w:r>
      <w:r w:rsidR="002C49E0" w:rsidRPr="003D4545">
        <w:rPr>
          <w:lang w:val="en-US"/>
        </w:rPr>
        <w:t>are</w:t>
      </w:r>
      <w:r>
        <w:rPr>
          <w:lang w:val="en-US"/>
        </w:rPr>
        <w:t xml:space="preserve"> not directly applicable to indirect communication scenarios, where the communication between the NF consumer and the NF producer is done via SCP, since the mutual TLS authentication is performed between the NF and SCP.</w:t>
      </w:r>
      <w:r w:rsidR="002C49E0">
        <w:rPr>
          <w:lang w:val="en-US"/>
        </w:rPr>
        <w:t xml:space="preserve"> </w:t>
      </w:r>
    </w:p>
    <w:p w14:paraId="144EBD30" w14:textId="65CB130C" w:rsidR="00305D10" w:rsidRDefault="00E26AD0" w:rsidP="00D6536A">
      <w:pPr>
        <w:rPr>
          <w:lang w:val="en-US"/>
        </w:rPr>
      </w:pPr>
      <w:r>
        <w:rPr>
          <w:lang w:val="en-US"/>
        </w:rPr>
        <w:lastRenderedPageBreak/>
        <w:t xml:space="preserve">Thus, </w:t>
      </w:r>
      <w:r w:rsidR="002C49E0">
        <w:rPr>
          <w:lang w:val="en-US"/>
        </w:rPr>
        <w:t>the binding of authentication with authorization</w:t>
      </w:r>
      <w:r>
        <w:rPr>
          <w:lang w:val="en-US"/>
        </w:rPr>
        <w:t xml:space="preserve"> can</w:t>
      </w:r>
      <w:r w:rsidR="002C49E0">
        <w:rPr>
          <w:lang w:val="en-US"/>
        </w:rPr>
        <w:t>not</w:t>
      </w:r>
      <w:r>
        <w:rPr>
          <w:lang w:val="en-US"/>
        </w:rPr>
        <w:t xml:space="preserve"> be applied </w:t>
      </w:r>
      <w:r w:rsidR="002C49E0">
        <w:rPr>
          <w:lang w:val="en-US"/>
        </w:rPr>
        <w:t>“</w:t>
      </w:r>
      <w:r>
        <w:rPr>
          <w:lang w:val="en-US"/>
        </w:rPr>
        <w:t>as</w:t>
      </w:r>
      <w:r w:rsidR="002C49E0">
        <w:rPr>
          <w:lang w:val="en-US"/>
        </w:rPr>
        <w:t>-</w:t>
      </w:r>
      <w:r>
        <w:rPr>
          <w:lang w:val="en-US"/>
        </w:rPr>
        <w:t>is</w:t>
      </w:r>
      <w:r w:rsidR="002C49E0">
        <w:rPr>
          <w:lang w:val="en-US"/>
        </w:rPr>
        <w:t>”</w:t>
      </w:r>
      <w:r>
        <w:rPr>
          <w:lang w:val="en-US"/>
        </w:rPr>
        <w:t xml:space="preserve"> in model C and D scenarios.</w:t>
      </w:r>
      <w:r w:rsidR="00265592">
        <w:rPr>
          <w:lang w:val="en-US"/>
        </w:rPr>
        <w:t xml:space="preserve"> </w:t>
      </w:r>
      <w:r w:rsidR="00AB22FA">
        <w:rPr>
          <w:lang w:val="en-US"/>
        </w:rPr>
        <w:t xml:space="preserve">Even if </w:t>
      </w:r>
      <w:r w:rsidR="00AB22FA" w:rsidRPr="003D4545">
        <w:rPr>
          <w:lang w:val="en-US"/>
        </w:rPr>
        <w:t>CCA</w:t>
      </w:r>
      <w:r w:rsidR="00EC4EEC" w:rsidRPr="003D4545">
        <w:rPr>
          <w:lang w:val="en-US"/>
        </w:rPr>
        <w:t xml:space="preserve"> token</w:t>
      </w:r>
      <w:r w:rsidR="00AB22FA">
        <w:rPr>
          <w:lang w:val="en-US"/>
        </w:rPr>
        <w:t xml:space="preserve"> is present in the service request for indirect communication, </w:t>
      </w:r>
      <w:r w:rsidR="009A229A">
        <w:rPr>
          <w:lang w:val="en-US"/>
        </w:rPr>
        <w:t>as indicated in [2], clause 13.4.1.1., the NF producer may (optionally) verify that the subject claim in the access token matches the subject claim in the CCA</w:t>
      </w:r>
      <w:r w:rsidR="00EC4EEC">
        <w:rPr>
          <w:lang w:val="en-US"/>
        </w:rPr>
        <w:t xml:space="preserve"> </w:t>
      </w:r>
      <w:r w:rsidR="00EC4EEC" w:rsidRPr="00FD010E">
        <w:rPr>
          <w:lang w:val="en-US"/>
        </w:rPr>
        <w:t>token</w:t>
      </w:r>
      <w:r w:rsidR="009A229A">
        <w:rPr>
          <w:lang w:val="en-US"/>
        </w:rPr>
        <w:t xml:space="preserve">, </w:t>
      </w:r>
      <w:r w:rsidR="00307D48">
        <w:rPr>
          <w:lang w:val="en-US"/>
        </w:rPr>
        <w:t xml:space="preserve">and further the CCA </w:t>
      </w:r>
      <w:r w:rsidR="00EC4EEC" w:rsidRPr="003D4545">
        <w:rPr>
          <w:lang w:val="en-US"/>
        </w:rPr>
        <w:t>token</w:t>
      </w:r>
      <w:r w:rsidR="00EC4EEC">
        <w:rPr>
          <w:lang w:val="en-US"/>
        </w:rPr>
        <w:t xml:space="preserve"> </w:t>
      </w:r>
      <w:r w:rsidR="00307D48">
        <w:rPr>
          <w:lang w:val="en-US"/>
        </w:rPr>
        <w:t xml:space="preserve">is to be checked against the certificate used for signing the CCA token, and </w:t>
      </w:r>
      <w:r w:rsidR="00B64420">
        <w:rPr>
          <w:lang w:val="en-US"/>
        </w:rPr>
        <w:t>*</w:t>
      </w:r>
      <w:r w:rsidR="00307D48">
        <w:rPr>
          <w:lang w:val="en-US"/>
        </w:rPr>
        <w:t>not</w:t>
      </w:r>
      <w:r w:rsidR="00B64420">
        <w:rPr>
          <w:lang w:val="en-US"/>
        </w:rPr>
        <w:t>*</w:t>
      </w:r>
      <w:r w:rsidR="00307D48">
        <w:rPr>
          <w:lang w:val="en-US"/>
        </w:rPr>
        <w:t xml:space="preserve"> the </w:t>
      </w:r>
      <w:proofErr w:type="spellStart"/>
      <w:r w:rsidR="00307D48">
        <w:rPr>
          <w:lang w:val="en-US"/>
        </w:rPr>
        <w:t>mTLS</w:t>
      </w:r>
      <w:proofErr w:type="spellEnd"/>
      <w:r w:rsidR="00307D48">
        <w:rPr>
          <w:lang w:val="en-US"/>
        </w:rPr>
        <w:t xml:space="preserve"> client certificate</w:t>
      </w:r>
      <w:r w:rsidR="003D4545">
        <w:rPr>
          <w:lang w:val="en-US"/>
        </w:rPr>
        <w:t xml:space="preserve"> (e.g. </w:t>
      </w:r>
      <w:proofErr w:type="spellStart"/>
      <w:r w:rsidR="003D4545">
        <w:rPr>
          <w:lang w:val="en-US"/>
        </w:rPr>
        <w:t>mTLS</w:t>
      </w:r>
      <w:proofErr w:type="spellEnd"/>
      <w:r w:rsidR="003D4545">
        <w:rPr>
          <w:lang w:val="en-US"/>
        </w:rPr>
        <w:t xml:space="preserve"> hop between SCP and NRF, NRF and NRF or SCP and </w:t>
      </w:r>
      <w:proofErr w:type="spellStart"/>
      <w:r w:rsidR="003D4545">
        <w:rPr>
          <w:lang w:val="en-US"/>
        </w:rPr>
        <w:t>NFp</w:t>
      </w:r>
      <w:proofErr w:type="spellEnd"/>
      <w:r w:rsidR="003D4545">
        <w:rPr>
          <w:lang w:val="en-US"/>
        </w:rPr>
        <w:t>)</w:t>
      </w:r>
      <w:r w:rsidR="00307D48">
        <w:rPr>
          <w:lang w:val="en-US"/>
        </w:rPr>
        <w:t xml:space="preserve">. </w:t>
      </w:r>
    </w:p>
    <w:p w14:paraId="2BBC8A05" w14:textId="77777777" w:rsidR="00E26AD0" w:rsidRPr="00E26AD0" w:rsidRDefault="00C40679" w:rsidP="00D6536A">
      <w:pPr>
        <w:rPr>
          <w:lang w:val="en-US"/>
        </w:rPr>
      </w:pPr>
      <w:r>
        <w:rPr>
          <w:b/>
          <w:bCs/>
          <w:lang w:val="en-US"/>
        </w:rPr>
        <w:t>Conclusion</w:t>
      </w:r>
      <w:r w:rsidR="00E26AD0" w:rsidRPr="00E26AD0">
        <w:rPr>
          <w:b/>
          <w:bCs/>
          <w:lang w:val="en-US"/>
        </w:rPr>
        <w:t>:</w:t>
      </w:r>
      <w:r w:rsidR="00A246A2">
        <w:rPr>
          <w:b/>
          <w:bCs/>
          <w:lang w:val="en-US"/>
        </w:rPr>
        <w:t xml:space="preserve"> </w:t>
      </w:r>
      <w:r w:rsidR="00A246A2">
        <w:rPr>
          <w:lang w:val="en-US"/>
        </w:rPr>
        <w:t xml:space="preserve">Overall certificate-bound access tokens leverage the level of security of the authorization framework as specified for </w:t>
      </w:r>
      <w:r w:rsidR="00A249E6">
        <w:rPr>
          <w:lang w:val="en-US"/>
        </w:rPr>
        <w:t>5GC, therefore it is proposed to study the applicability of this mechanism, mainly based on IETF RFC 8705 to 5GC</w:t>
      </w:r>
      <w:r w:rsidR="00265592">
        <w:rPr>
          <w:lang w:val="en-US"/>
        </w:rPr>
        <w:t>, covering the use cases of indirect communication</w:t>
      </w:r>
      <w:r>
        <w:rPr>
          <w:lang w:val="en-US"/>
        </w:rPr>
        <w:t xml:space="preserve"> and </w:t>
      </w:r>
      <w:r w:rsidR="00265592">
        <w:rPr>
          <w:lang w:val="en-US"/>
        </w:rPr>
        <w:t xml:space="preserve">use of </w:t>
      </w:r>
      <w:r w:rsidR="00265592" w:rsidRPr="003D4545">
        <w:rPr>
          <w:lang w:val="en-US"/>
        </w:rPr>
        <w:t>CCA</w:t>
      </w:r>
      <w:r w:rsidR="00182B6F" w:rsidRPr="003D4545">
        <w:rPr>
          <w:lang w:val="en-US"/>
        </w:rPr>
        <w:t xml:space="preserve"> tokens</w:t>
      </w:r>
      <w:r w:rsidR="00265592" w:rsidRPr="003D4545">
        <w:rPr>
          <w:lang w:val="en-US"/>
        </w:rPr>
        <w:t>.</w:t>
      </w:r>
      <w:r w:rsidR="00A249E6">
        <w:rPr>
          <w:lang w:val="en-US"/>
        </w:rPr>
        <w:t xml:space="preserve"> </w:t>
      </w:r>
    </w:p>
    <w:p w14:paraId="7B07A267" w14:textId="77777777" w:rsidR="00C022E3" w:rsidRDefault="00C022E3">
      <w:pPr>
        <w:pStyle w:val="Heading1"/>
      </w:pPr>
      <w:r>
        <w:t>4</w:t>
      </w:r>
      <w:r>
        <w:tab/>
        <w:t xml:space="preserve">Detailed </w:t>
      </w:r>
      <w:proofErr w:type="gramStart"/>
      <w:r>
        <w:t>proposal</w:t>
      </w:r>
      <w:proofErr w:type="gramEnd"/>
    </w:p>
    <w:p w14:paraId="6EEE3949" w14:textId="77777777" w:rsidR="00116239" w:rsidRDefault="00116239" w:rsidP="00506764">
      <w:pPr>
        <w:rPr>
          <w:iCs/>
        </w:rPr>
      </w:pPr>
      <w:r>
        <w:rPr>
          <w:iCs/>
        </w:rPr>
        <w:t>Based on the argumentation exposed above two alternative proposals are presented:</w:t>
      </w:r>
    </w:p>
    <w:p w14:paraId="441886B4" w14:textId="77777777" w:rsidR="00782D4C" w:rsidRDefault="00782D4C" w:rsidP="00782D4C">
      <w:pPr>
        <w:rPr>
          <w:iCs/>
        </w:rPr>
      </w:pPr>
      <w:r w:rsidRPr="00782D4C">
        <w:rPr>
          <w:iCs/>
        </w:rPr>
        <w:t>1)</w:t>
      </w:r>
      <w:r>
        <w:rPr>
          <w:iCs/>
        </w:rPr>
        <w:t xml:space="preserve"> Study the topic of certificate bound access token in SBA authorization framework as a mini-WID TEI19 in Rel-19.</w:t>
      </w:r>
    </w:p>
    <w:p w14:paraId="7BF4717E" w14:textId="77777777" w:rsidR="00782D4C" w:rsidRPr="0010782A" w:rsidRDefault="00782D4C" w:rsidP="00782D4C">
      <w:pPr>
        <w:rPr>
          <w:iCs/>
        </w:rPr>
      </w:pPr>
      <w:r>
        <w:rPr>
          <w:iCs/>
        </w:rPr>
        <w:t>2) Study the topic of certificate bound access token in SBA authorization framework as objective in the proposed SBA security enhancement in Rel-19</w:t>
      </w:r>
    </w:p>
    <w:p w14:paraId="6BB2E143" w14:textId="77777777" w:rsidR="0010782A" w:rsidRDefault="0010782A">
      <w:pPr>
        <w:rPr>
          <w:i/>
        </w:rPr>
      </w:pPr>
    </w:p>
    <w:sectPr w:rsidR="001078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C93D3" w14:textId="77777777" w:rsidR="00920F12" w:rsidRDefault="00920F12">
      <w:r>
        <w:separator/>
      </w:r>
    </w:p>
  </w:endnote>
  <w:endnote w:type="continuationSeparator" w:id="0">
    <w:p w14:paraId="3CE5A9EB" w14:textId="77777777" w:rsidR="00920F12" w:rsidRDefault="0092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D74E" w14:textId="77777777" w:rsidR="00920F12" w:rsidRDefault="00920F12">
      <w:r>
        <w:separator/>
      </w:r>
    </w:p>
  </w:footnote>
  <w:footnote w:type="continuationSeparator" w:id="0">
    <w:p w14:paraId="7A648739" w14:textId="77777777" w:rsidR="00920F12" w:rsidRDefault="00920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475BF3"/>
    <w:multiLevelType w:val="hybridMultilevel"/>
    <w:tmpl w:val="5704ABE2"/>
    <w:lvl w:ilvl="0" w:tplc="BFDE201A">
      <w:numFmt w:val="bullet"/>
      <w:lvlText w:val="-"/>
      <w:lvlJc w:val="left"/>
      <w:pPr>
        <w:ind w:left="360" w:hanging="360"/>
      </w:pPr>
      <w:rPr>
        <w:rFonts w:ascii="Times New Roman" w:eastAsia="SimSun" w:hAnsi="Times New Roman" w:cs="Times New Roman" w:hint="default"/>
      </w:rPr>
    </w:lvl>
    <w:lvl w:ilvl="1" w:tplc="8988B492">
      <w:numFmt w:val="bullet"/>
      <w:lvlText w:val=""/>
      <w:lvlJc w:val="left"/>
      <w:pPr>
        <w:ind w:left="1080" w:hanging="36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347AB9"/>
    <w:multiLevelType w:val="hybridMultilevel"/>
    <w:tmpl w:val="A81A8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37293B"/>
    <w:multiLevelType w:val="hybridMultilevel"/>
    <w:tmpl w:val="65641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FF181A"/>
    <w:multiLevelType w:val="hybridMultilevel"/>
    <w:tmpl w:val="886A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05125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094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818542">
    <w:abstractNumId w:val="13"/>
  </w:num>
  <w:num w:numId="4" w16cid:durableId="1109860276">
    <w:abstractNumId w:val="16"/>
  </w:num>
  <w:num w:numId="5" w16cid:durableId="1773430184">
    <w:abstractNumId w:val="15"/>
  </w:num>
  <w:num w:numId="6" w16cid:durableId="428041305">
    <w:abstractNumId w:val="11"/>
  </w:num>
  <w:num w:numId="7" w16cid:durableId="19210380">
    <w:abstractNumId w:val="12"/>
  </w:num>
  <w:num w:numId="8" w16cid:durableId="1582253679">
    <w:abstractNumId w:val="24"/>
  </w:num>
  <w:num w:numId="9" w16cid:durableId="1251430103">
    <w:abstractNumId w:val="20"/>
  </w:num>
  <w:num w:numId="10" w16cid:durableId="1242442942">
    <w:abstractNumId w:val="23"/>
  </w:num>
  <w:num w:numId="11" w16cid:durableId="841311099">
    <w:abstractNumId w:val="14"/>
  </w:num>
  <w:num w:numId="12" w16cid:durableId="657415523">
    <w:abstractNumId w:val="18"/>
  </w:num>
  <w:num w:numId="13" w16cid:durableId="1754735924">
    <w:abstractNumId w:val="9"/>
  </w:num>
  <w:num w:numId="14" w16cid:durableId="2068412337">
    <w:abstractNumId w:val="7"/>
  </w:num>
  <w:num w:numId="15" w16cid:durableId="577979989">
    <w:abstractNumId w:val="6"/>
  </w:num>
  <w:num w:numId="16" w16cid:durableId="1758595313">
    <w:abstractNumId w:val="5"/>
  </w:num>
  <w:num w:numId="17" w16cid:durableId="769593056">
    <w:abstractNumId w:val="4"/>
  </w:num>
  <w:num w:numId="18" w16cid:durableId="1359353212">
    <w:abstractNumId w:val="8"/>
  </w:num>
  <w:num w:numId="19" w16cid:durableId="1796437537">
    <w:abstractNumId w:val="3"/>
  </w:num>
  <w:num w:numId="20" w16cid:durableId="797914768">
    <w:abstractNumId w:val="2"/>
  </w:num>
  <w:num w:numId="21" w16cid:durableId="1931238646">
    <w:abstractNumId w:val="1"/>
  </w:num>
  <w:num w:numId="22" w16cid:durableId="452676796">
    <w:abstractNumId w:val="0"/>
  </w:num>
  <w:num w:numId="23" w16cid:durableId="393240933">
    <w:abstractNumId w:val="22"/>
  </w:num>
  <w:num w:numId="24" w16cid:durableId="977494417">
    <w:abstractNumId w:val="17"/>
  </w:num>
  <w:num w:numId="25" w16cid:durableId="832526743">
    <w:abstractNumId w:val="19"/>
  </w:num>
  <w:num w:numId="26" w16cid:durableId="13300634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5ADF"/>
    <w:rsid w:val="000413F1"/>
    <w:rsid w:val="00046389"/>
    <w:rsid w:val="00074722"/>
    <w:rsid w:val="000819D8"/>
    <w:rsid w:val="000934A6"/>
    <w:rsid w:val="000A2C6C"/>
    <w:rsid w:val="000A4660"/>
    <w:rsid w:val="000D1B5B"/>
    <w:rsid w:val="0010401F"/>
    <w:rsid w:val="0010782A"/>
    <w:rsid w:val="00112FC3"/>
    <w:rsid w:val="00116239"/>
    <w:rsid w:val="00147896"/>
    <w:rsid w:val="00173FA3"/>
    <w:rsid w:val="00182B6F"/>
    <w:rsid w:val="001842C7"/>
    <w:rsid w:val="00184B6F"/>
    <w:rsid w:val="001861E5"/>
    <w:rsid w:val="001A658E"/>
    <w:rsid w:val="001B1652"/>
    <w:rsid w:val="001C3EC8"/>
    <w:rsid w:val="001D2BD4"/>
    <w:rsid w:val="001D6911"/>
    <w:rsid w:val="00201947"/>
    <w:rsid w:val="00201EA1"/>
    <w:rsid w:val="0020395B"/>
    <w:rsid w:val="002046CB"/>
    <w:rsid w:val="00204DC9"/>
    <w:rsid w:val="002062C0"/>
    <w:rsid w:val="00215130"/>
    <w:rsid w:val="00216B22"/>
    <w:rsid w:val="00230002"/>
    <w:rsid w:val="00244C9A"/>
    <w:rsid w:val="00247216"/>
    <w:rsid w:val="00247762"/>
    <w:rsid w:val="00265592"/>
    <w:rsid w:val="002A1857"/>
    <w:rsid w:val="002C49E0"/>
    <w:rsid w:val="002C7F38"/>
    <w:rsid w:val="00305D10"/>
    <w:rsid w:val="0030628A"/>
    <w:rsid w:val="00307D48"/>
    <w:rsid w:val="003330E8"/>
    <w:rsid w:val="0035122B"/>
    <w:rsid w:val="00353451"/>
    <w:rsid w:val="00364E28"/>
    <w:rsid w:val="00371032"/>
    <w:rsid w:val="00371B44"/>
    <w:rsid w:val="003875BB"/>
    <w:rsid w:val="003A6636"/>
    <w:rsid w:val="003C122B"/>
    <w:rsid w:val="003C5A97"/>
    <w:rsid w:val="003C7A04"/>
    <w:rsid w:val="003D40C7"/>
    <w:rsid w:val="003D4545"/>
    <w:rsid w:val="003F52B2"/>
    <w:rsid w:val="003F6E74"/>
    <w:rsid w:val="00440414"/>
    <w:rsid w:val="004558E9"/>
    <w:rsid w:val="0045777E"/>
    <w:rsid w:val="004959AC"/>
    <w:rsid w:val="004B3753"/>
    <w:rsid w:val="004C31D2"/>
    <w:rsid w:val="004D55C2"/>
    <w:rsid w:val="004F3275"/>
    <w:rsid w:val="00506764"/>
    <w:rsid w:val="005135E4"/>
    <w:rsid w:val="00516629"/>
    <w:rsid w:val="00521131"/>
    <w:rsid w:val="00527C0B"/>
    <w:rsid w:val="00534711"/>
    <w:rsid w:val="005410F6"/>
    <w:rsid w:val="00545BA9"/>
    <w:rsid w:val="005729C4"/>
    <w:rsid w:val="00575466"/>
    <w:rsid w:val="0059227B"/>
    <w:rsid w:val="005B0966"/>
    <w:rsid w:val="005B795D"/>
    <w:rsid w:val="005E4CF5"/>
    <w:rsid w:val="0060514A"/>
    <w:rsid w:val="00613820"/>
    <w:rsid w:val="00626075"/>
    <w:rsid w:val="00652248"/>
    <w:rsid w:val="00657A26"/>
    <w:rsid w:val="00657B80"/>
    <w:rsid w:val="006624C0"/>
    <w:rsid w:val="00675B3C"/>
    <w:rsid w:val="0069495C"/>
    <w:rsid w:val="006C774D"/>
    <w:rsid w:val="006D340A"/>
    <w:rsid w:val="006F1D0F"/>
    <w:rsid w:val="006F7924"/>
    <w:rsid w:val="00715A1D"/>
    <w:rsid w:val="00732EE4"/>
    <w:rsid w:val="00756D8C"/>
    <w:rsid w:val="00760BB0"/>
    <w:rsid w:val="0076157A"/>
    <w:rsid w:val="00782D4C"/>
    <w:rsid w:val="00784593"/>
    <w:rsid w:val="007A00EF"/>
    <w:rsid w:val="007B19EA"/>
    <w:rsid w:val="007C0A2D"/>
    <w:rsid w:val="007C27B0"/>
    <w:rsid w:val="007C7BAB"/>
    <w:rsid w:val="007E537E"/>
    <w:rsid w:val="007F300B"/>
    <w:rsid w:val="008014C3"/>
    <w:rsid w:val="00802B1E"/>
    <w:rsid w:val="00850812"/>
    <w:rsid w:val="00872560"/>
    <w:rsid w:val="00876B9A"/>
    <w:rsid w:val="008841F2"/>
    <w:rsid w:val="008933BF"/>
    <w:rsid w:val="008A10C4"/>
    <w:rsid w:val="008A17B1"/>
    <w:rsid w:val="008B0248"/>
    <w:rsid w:val="008B3942"/>
    <w:rsid w:val="008F5F33"/>
    <w:rsid w:val="0091046A"/>
    <w:rsid w:val="00920F12"/>
    <w:rsid w:val="00926ABD"/>
    <w:rsid w:val="009271BA"/>
    <w:rsid w:val="00947F4E"/>
    <w:rsid w:val="00962561"/>
    <w:rsid w:val="00966D47"/>
    <w:rsid w:val="00992312"/>
    <w:rsid w:val="009A229A"/>
    <w:rsid w:val="009C0DED"/>
    <w:rsid w:val="009E637B"/>
    <w:rsid w:val="00A246A2"/>
    <w:rsid w:val="00A249E6"/>
    <w:rsid w:val="00A37D7F"/>
    <w:rsid w:val="00A46410"/>
    <w:rsid w:val="00A57688"/>
    <w:rsid w:val="00A72F1E"/>
    <w:rsid w:val="00A769E7"/>
    <w:rsid w:val="00A84A94"/>
    <w:rsid w:val="00A86BF7"/>
    <w:rsid w:val="00A96B4A"/>
    <w:rsid w:val="00AA34E2"/>
    <w:rsid w:val="00AB22FA"/>
    <w:rsid w:val="00AD1DAA"/>
    <w:rsid w:val="00AF1E23"/>
    <w:rsid w:val="00AF7F81"/>
    <w:rsid w:val="00B01135"/>
    <w:rsid w:val="00B01AFF"/>
    <w:rsid w:val="00B01C41"/>
    <w:rsid w:val="00B05CC7"/>
    <w:rsid w:val="00B22DAE"/>
    <w:rsid w:val="00B27E39"/>
    <w:rsid w:val="00B350D8"/>
    <w:rsid w:val="00B4702A"/>
    <w:rsid w:val="00B64420"/>
    <w:rsid w:val="00B76763"/>
    <w:rsid w:val="00B7732B"/>
    <w:rsid w:val="00B879F0"/>
    <w:rsid w:val="00BB7A9D"/>
    <w:rsid w:val="00BC25AA"/>
    <w:rsid w:val="00BC43FF"/>
    <w:rsid w:val="00C022E3"/>
    <w:rsid w:val="00C40679"/>
    <w:rsid w:val="00C44312"/>
    <w:rsid w:val="00C4712D"/>
    <w:rsid w:val="00C555C9"/>
    <w:rsid w:val="00C66911"/>
    <w:rsid w:val="00C94F55"/>
    <w:rsid w:val="00CA7D62"/>
    <w:rsid w:val="00CB07A8"/>
    <w:rsid w:val="00CD4A57"/>
    <w:rsid w:val="00CF3A76"/>
    <w:rsid w:val="00D0670B"/>
    <w:rsid w:val="00D138F3"/>
    <w:rsid w:val="00D33604"/>
    <w:rsid w:val="00D37B08"/>
    <w:rsid w:val="00D437FF"/>
    <w:rsid w:val="00D5130C"/>
    <w:rsid w:val="00D62265"/>
    <w:rsid w:val="00D6536A"/>
    <w:rsid w:val="00D8512E"/>
    <w:rsid w:val="00D942B6"/>
    <w:rsid w:val="00DA1E58"/>
    <w:rsid w:val="00DE4EF2"/>
    <w:rsid w:val="00DF2C0E"/>
    <w:rsid w:val="00E04DB6"/>
    <w:rsid w:val="00E06FFB"/>
    <w:rsid w:val="00E1773F"/>
    <w:rsid w:val="00E26AD0"/>
    <w:rsid w:val="00E30155"/>
    <w:rsid w:val="00E674D0"/>
    <w:rsid w:val="00E91FE1"/>
    <w:rsid w:val="00EA5E95"/>
    <w:rsid w:val="00EC4EEC"/>
    <w:rsid w:val="00ED4954"/>
    <w:rsid w:val="00EE0943"/>
    <w:rsid w:val="00EE33A2"/>
    <w:rsid w:val="00F00E37"/>
    <w:rsid w:val="00F26820"/>
    <w:rsid w:val="00F67A1C"/>
    <w:rsid w:val="00F817D6"/>
    <w:rsid w:val="00F82C5B"/>
    <w:rsid w:val="00F8555F"/>
    <w:rsid w:val="00F94B0B"/>
    <w:rsid w:val="00FD010E"/>
    <w:rsid w:val="00FE594A"/>
    <w:rsid w:val="00FF6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65FE4"/>
  <w15:chartTrackingRefBased/>
  <w15:docId w15:val="{3CB35C43-88E5-4D19-B700-C007F492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5AIRPNAIUNRU-931754773-4112</_dlc_DocId>
    <_dlc_DocIdUrl xmlns="71c5aaf6-e6ce-465b-b873-5148d2a4c105">
      <Url>https://nokia.sharepoint.com/sites/c5g/security/_layouts/15/DocIdRedir.aspx?ID=5AIRPNAIUNRU-931754773-4112</Url>
      <Description>5AIRPNAIUNRU-931754773-4112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3C25A12-1D65-4254-87DC-947ADDCEB343}">
  <ds:schemaRefs>
    <ds:schemaRef ds:uri="http://schemas.microsoft.com/sharepoint/v3/contenttype/forms"/>
  </ds:schemaRefs>
</ds:datastoreItem>
</file>

<file path=customXml/itemProps2.xml><?xml version="1.0" encoding="utf-8"?>
<ds:datastoreItem xmlns:ds="http://schemas.openxmlformats.org/officeDocument/2006/customXml" ds:itemID="{28115D0D-25C9-47A4-83B8-3FC8D9CC318D}">
  <ds:schemaRefs>
    <ds:schemaRef ds:uri="http://schemas.microsoft.com/sharepoint/events"/>
  </ds:schemaRefs>
</ds:datastoreItem>
</file>

<file path=customXml/itemProps3.xml><?xml version="1.0" encoding="utf-8"?>
<ds:datastoreItem xmlns:ds="http://schemas.openxmlformats.org/officeDocument/2006/customXml" ds:itemID="{D2782739-6D8E-4D67-804D-C6C42F33980F}">
  <ds:schemaRefs>
    <ds:schemaRef ds:uri="http://www.w3.org/XML/1998/namespace"/>
    <ds:schemaRef ds:uri="3b34c8f0-1ef5-4d1e-bb66-517ce7fe7356"/>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4776aa60-670e-4784-be98-c39ff3403b35"/>
    <ds:schemaRef ds:uri="b48738c0-5c12-4b5a-b05a-8a6603520253"/>
    <ds:schemaRef ds:uri="71c5aaf6-e6ce-465b-b873-5148d2a4c105"/>
  </ds:schemaRefs>
</ds:datastoreItem>
</file>

<file path=customXml/itemProps4.xml><?xml version="1.0" encoding="utf-8"?>
<ds:datastoreItem xmlns:ds="http://schemas.openxmlformats.org/officeDocument/2006/customXml" ds:itemID="{2EE299EC-E50A-476A-962C-49DFA585D893}">
  <ds:schemaRefs>
    <ds:schemaRef ds:uri="Microsoft.SharePoint.Taxonomy.ContentTypeSync"/>
  </ds:schemaRefs>
</ds:datastoreItem>
</file>

<file path=customXml/itemProps5.xml><?xml version="1.0" encoding="utf-8"?>
<ds:datastoreItem xmlns:ds="http://schemas.openxmlformats.org/officeDocument/2006/customXml" ds:itemID="{02E87C8E-B256-4781-A73E-017DF62FE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9D363F-A85B-4BB9-9B0D-6143C5B3F6AB}">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2023-10-30T10:08:00Z</dcterms:created>
  <dcterms:modified xsi:type="dcterms:W3CDTF">2023-10-30T10:08:00Z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5AIRPNAIUNRU-931754773-4103</vt:lpwstr>
  </property>
  <property fmtid="{D5CDD505-2E9C-101B-9397-08002B2CF9AE}" pid="4" name="_dlc_DocIdItemGuid">
    <vt:lpwstr>ef0fa089-8675-48a9-9c2d-70f965f5db45</vt:lpwstr>
  </property>
  <property fmtid="{D5CDD505-2E9C-101B-9397-08002B2CF9AE}" pid="5" name="_dlc_DocIdUrl">
    <vt:lpwstr>https://nokia.sharepoint.com/sites/c5g/security/_layouts/15/DocIdRedir.aspx?ID=5AIRPNAIUNRU-931754773-4103, 5AIRPNAIUNRU-931754773-4103</vt:lpwstr>
  </property>
  <property fmtid="{D5CDD505-2E9C-101B-9397-08002B2CF9AE}" pid="6" name="ContentTypeId">
    <vt:lpwstr>0x010100DA95EA92BC8BC0428C825697CEF0A167</vt:lpwstr>
  </property>
  <property fmtid="{D5CDD505-2E9C-101B-9397-08002B2CF9AE}" pid="7" name="MediaServiceImageTags">
    <vt:lpwstr/>
  </property>
</Properties>
</file>